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3C12" w14:textId="0C445F0B" w:rsidR="005F5985" w:rsidRDefault="009F375C" w:rsidP="005F5985">
      <w:pPr>
        <w:jc w:val="center"/>
      </w:pPr>
      <w:r>
        <w:rPr>
          <w:b/>
          <w:bCs/>
          <w:noProof/>
        </w:rPr>
        <w:drawing>
          <wp:anchor distT="0" distB="0" distL="114300" distR="114300" simplePos="0" relativeHeight="251672064" behindDoc="0" locked="0" layoutInCell="1" allowOverlap="1" wp14:anchorId="53316B88" wp14:editId="1C401E84">
            <wp:simplePos x="0" y="0"/>
            <wp:positionH relativeFrom="column">
              <wp:posOffset>2774950</wp:posOffset>
            </wp:positionH>
            <wp:positionV relativeFrom="paragraph">
              <wp:posOffset>6350</wp:posOffset>
            </wp:positionV>
            <wp:extent cx="1120775" cy="989330"/>
            <wp:effectExtent l="0" t="0" r="3175" b="1270"/>
            <wp:wrapThrough wrapText="bothSides">
              <wp:wrapPolygon edited="0">
                <wp:start x="0" y="0"/>
                <wp:lineTo x="0" y="21212"/>
                <wp:lineTo x="21294" y="21212"/>
                <wp:lineTo x="21294" y="0"/>
                <wp:lineTo x="0"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0775" cy="989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4A6480" w14:textId="069A7AA0" w:rsidR="005F5985" w:rsidRDefault="005F5985" w:rsidP="005F5985">
      <w:pPr>
        <w:jc w:val="center"/>
      </w:pPr>
    </w:p>
    <w:p w14:paraId="01428157" w14:textId="30E4ACE6" w:rsidR="00934696" w:rsidRDefault="00934696" w:rsidP="005F5985">
      <w:pPr>
        <w:jc w:val="center"/>
      </w:pPr>
    </w:p>
    <w:p w14:paraId="4FC9C53A" w14:textId="7A5CEDEE" w:rsidR="005F5985" w:rsidRDefault="005F5985" w:rsidP="005F5985">
      <w:pPr>
        <w:jc w:val="center"/>
      </w:pPr>
    </w:p>
    <w:p w14:paraId="297A245C" w14:textId="5282B445" w:rsidR="005F5985" w:rsidRPr="007C6CF3" w:rsidRDefault="005F5985" w:rsidP="005F5985">
      <w:pPr>
        <w:jc w:val="center"/>
        <w:rPr>
          <w:b/>
          <w:bCs/>
          <w:sz w:val="32"/>
          <w:szCs w:val="32"/>
        </w:rPr>
      </w:pPr>
      <w:r w:rsidRPr="007C6CF3">
        <w:rPr>
          <w:b/>
          <w:bCs/>
          <w:sz w:val="32"/>
          <w:szCs w:val="32"/>
        </w:rPr>
        <w:t>H100 Latina Giving Circle</w:t>
      </w:r>
      <w:r w:rsidR="001D71D3" w:rsidRPr="007C6CF3">
        <w:rPr>
          <w:b/>
          <w:bCs/>
          <w:sz w:val="32"/>
          <w:szCs w:val="32"/>
        </w:rPr>
        <w:t xml:space="preserve"> - 202</w:t>
      </w:r>
      <w:r w:rsidR="002F2B46">
        <w:rPr>
          <w:b/>
          <w:bCs/>
          <w:sz w:val="32"/>
          <w:szCs w:val="32"/>
        </w:rPr>
        <w:t>6</w:t>
      </w:r>
      <w:r w:rsidR="001D71D3" w:rsidRPr="007C6CF3">
        <w:rPr>
          <w:b/>
          <w:bCs/>
          <w:sz w:val="32"/>
          <w:szCs w:val="32"/>
        </w:rPr>
        <w:t xml:space="preserve"> Grant Guidelines</w:t>
      </w:r>
    </w:p>
    <w:p w14:paraId="09929794" w14:textId="44A478ED" w:rsidR="00474A75" w:rsidRPr="00870C4A" w:rsidRDefault="00DA4156" w:rsidP="00870C4A">
      <w:pPr>
        <w:spacing w:after="317"/>
        <w:ind w:right="2"/>
        <w:jc w:val="center"/>
      </w:pPr>
      <w:r>
        <w:rPr>
          <w:b/>
          <w:sz w:val="28"/>
        </w:rPr>
        <w:t xml:space="preserve">Complete Grant Applications are due by </w:t>
      </w:r>
      <w:r w:rsidR="00DA5C19">
        <w:rPr>
          <w:b/>
          <w:sz w:val="28"/>
        </w:rPr>
        <w:t>noon on May 2</w:t>
      </w:r>
      <w:r w:rsidR="002F2B46">
        <w:rPr>
          <w:b/>
          <w:sz w:val="28"/>
        </w:rPr>
        <w:t>0, 2026</w:t>
      </w:r>
      <w:r w:rsidR="00DA5C19">
        <w:rPr>
          <w:b/>
          <w:sz w:val="28"/>
        </w:rPr>
        <w:t xml:space="preserve"> </w:t>
      </w:r>
    </w:p>
    <w:p w14:paraId="1817CDAB" w14:textId="68A97EFB" w:rsidR="006E602B" w:rsidRDefault="006E602B" w:rsidP="006E602B">
      <w:pPr>
        <w:pStyle w:val="NoSpacing"/>
        <w:rPr>
          <w:rStyle w:val="eop"/>
          <w:rFonts w:ascii="Calibri" w:hAnsi="Calibri" w:cs="Calibri"/>
          <w:b/>
          <w:bCs/>
          <w:color w:val="000000"/>
          <w:sz w:val="24"/>
          <w:szCs w:val="24"/>
          <w:shd w:val="clear" w:color="auto" w:fill="FFFFFF"/>
        </w:rPr>
      </w:pPr>
      <w:r>
        <w:rPr>
          <w:rStyle w:val="eop"/>
          <w:rFonts w:ascii="Calibri" w:hAnsi="Calibri" w:cs="Calibri"/>
          <w:b/>
          <w:bCs/>
          <w:color w:val="000000"/>
          <w:sz w:val="24"/>
          <w:szCs w:val="24"/>
          <w:shd w:val="clear" w:color="auto" w:fill="FFFFFF"/>
        </w:rPr>
        <w:t>Mission</w:t>
      </w:r>
    </w:p>
    <w:p w14:paraId="086AEDED" w14:textId="4A4CF0D7" w:rsidR="00F806FA" w:rsidRDefault="00F806FA" w:rsidP="006E602B">
      <w:pPr>
        <w:pStyle w:val="NoSpacing"/>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 mission of the H100 Latina Giving Circle at Texas Women’s</w:t>
      </w:r>
      <w:r>
        <w:rPr>
          <w:rStyle w:val="normaltextrun"/>
          <w:rFonts w:ascii="Calibri" w:hAnsi="Calibri" w:cs="Calibri"/>
          <w:color w:val="D13438"/>
          <w:shd w:val="clear" w:color="auto" w:fill="FFFFFF"/>
        </w:rPr>
        <w:t xml:space="preserve"> </w:t>
      </w:r>
      <w:r>
        <w:rPr>
          <w:rStyle w:val="normaltextrun"/>
          <w:rFonts w:ascii="Calibri" w:hAnsi="Calibri" w:cs="Calibri"/>
          <w:color w:val="000000"/>
          <w:shd w:val="clear" w:color="auto" w:fill="FFFFFF"/>
        </w:rPr>
        <w:t>Foundation is to encourage philanthropy in the Hispanic/Latina community to contribute strategically and meaningfully throughout the DFW area. The H100 Latina Giving Circle provides the opportunity to learn about issues and organizations that affect and impact Hispanic women and girls.</w:t>
      </w:r>
    </w:p>
    <w:p w14:paraId="2D556803" w14:textId="77777777" w:rsidR="006E602B" w:rsidRDefault="006E602B" w:rsidP="006E602B">
      <w:pPr>
        <w:pStyle w:val="NoSpacing"/>
        <w:rPr>
          <w:rStyle w:val="eop"/>
        </w:rPr>
      </w:pPr>
    </w:p>
    <w:p w14:paraId="093654EC" w14:textId="77777777" w:rsidR="00F806FA" w:rsidRDefault="00F806FA" w:rsidP="00F806FA">
      <w:pPr>
        <w:pStyle w:val="NoSpacing"/>
        <w:rPr>
          <w:rStyle w:val="eop"/>
          <w:rFonts w:ascii="Calibri" w:hAnsi="Calibri" w:cs="Calibri"/>
          <w:b/>
          <w:bCs/>
          <w:color w:val="000000"/>
          <w:sz w:val="24"/>
          <w:szCs w:val="24"/>
          <w:shd w:val="clear" w:color="auto" w:fill="FFFFFF"/>
        </w:rPr>
      </w:pPr>
      <w:r>
        <w:rPr>
          <w:rStyle w:val="eop"/>
          <w:rFonts w:ascii="Calibri" w:hAnsi="Calibri" w:cs="Calibri"/>
          <w:b/>
          <w:bCs/>
          <w:color w:val="000000"/>
          <w:sz w:val="24"/>
          <w:szCs w:val="24"/>
          <w:shd w:val="clear" w:color="auto" w:fill="FFFFFF"/>
        </w:rPr>
        <w:t>Value Statements</w:t>
      </w:r>
    </w:p>
    <w:p w14:paraId="0464A194" w14:textId="197680B5" w:rsidR="00F806FA" w:rsidRDefault="00F806FA" w:rsidP="00F806FA">
      <w:pPr>
        <w:pStyle w:val="NoSpacing"/>
        <w:numPr>
          <w:ilvl w:val="0"/>
          <w:numId w:val="10"/>
        </w:numPr>
      </w:pPr>
      <w:r w:rsidRPr="00DA5C19">
        <w:rPr>
          <w:i/>
          <w:iCs/>
        </w:rPr>
        <w:t>Intentionality</w:t>
      </w:r>
      <w:r>
        <w:t xml:space="preserve"> – we support organizations with a clear understanding of the social and economic issues</w:t>
      </w:r>
      <w:r w:rsidR="002F2B46" w:rsidRPr="002F2B46">
        <w:t xml:space="preserve"> </w:t>
      </w:r>
      <w:r w:rsidR="002F2B46" w:rsidRPr="002F2B46">
        <w:t>impacting our community and that have</w:t>
      </w:r>
      <w:r>
        <w:t xml:space="preserve"> and who have a clear vision, strong leadership, influential partnerships, and lasting stakeholder relationships to effectuate positive change.</w:t>
      </w:r>
    </w:p>
    <w:p w14:paraId="239754F4" w14:textId="77777777" w:rsidR="00F806FA" w:rsidRDefault="00F806FA" w:rsidP="00F806FA">
      <w:pPr>
        <w:pStyle w:val="NoSpacing"/>
        <w:numPr>
          <w:ilvl w:val="0"/>
          <w:numId w:val="10"/>
        </w:numPr>
      </w:pPr>
      <w:r w:rsidRPr="00DA5C19">
        <w:rPr>
          <w:i/>
          <w:iCs/>
        </w:rPr>
        <w:t>Inclusion</w:t>
      </w:r>
      <w:r>
        <w:t xml:space="preserve"> – we fund organizations that treat everyone with respect and dignity. We support organizations that partner with active community leaders as stakeholders in identifying solutions and services.</w:t>
      </w:r>
    </w:p>
    <w:p w14:paraId="7FA2D23A" w14:textId="17F83E46" w:rsidR="00F806FA" w:rsidRDefault="004B4C12" w:rsidP="00F806FA">
      <w:pPr>
        <w:pStyle w:val="NoSpacing"/>
        <w:numPr>
          <w:ilvl w:val="0"/>
          <w:numId w:val="10"/>
        </w:numPr>
      </w:pPr>
      <w:r w:rsidRPr="00DA5C19">
        <w:rPr>
          <w:i/>
          <w:iCs/>
        </w:rPr>
        <w:t>Integrity</w:t>
      </w:r>
      <w:r>
        <w:t xml:space="preserve"> -</w:t>
      </w:r>
      <w:r w:rsidR="00F806FA">
        <w:t xml:space="preserve"> We value organizations that uphold the highest standards of transparency, accountability and that are data-driven and committed to evidence-based decision-making.</w:t>
      </w:r>
    </w:p>
    <w:p w14:paraId="2468071D" w14:textId="77777777" w:rsidR="00F806FA" w:rsidRPr="007C6CF3" w:rsidRDefault="00F806FA" w:rsidP="007C6CF3">
      <w:pPr>
        <w:spacing w:after="0" w:line="240" w:lineRule="auto"/>
        <w:rPr>
          <w:rStyle w:val="eop"/>
          <w:rFonts w:ascii="Calibri" w:hAnsi="Calibri" w:cs="Calibri"/>
          <w:color w:val="000000"/>
          <w:shd w:val="clear" w:color="auto" w:fill="FFFFFF"/>
        </w:rPr>
      </w:pPr>
    </w:p>
    <w:p w14:paraId="45E5A9BE" w14:textId="77777777" w:rsidR="00F806FA" w:rsidRDefault="00F806FA" w:rsidP="00F806FA">
      <w:pPr>
        <w:pStyle w:val="NoSpacing"/>
        <w:rPr>
          <w:sz w:val="24"/>
          <w:szCs w:val="24"/>
        </w:rPr>
      </w:pPr>
      <w:r>
        <w:rPr>
          <w:b/>
          <w:bCs/>
          <w:sz w:val="24"/>
          <w:szCs w:val="24"/>
        </w:rPr>
        <w:t>Eligibility</w:t>
      </w:r>
    </w:p>
    <w:p w14:paraId="16ADBF6F" w14:textId="1857A998" w:rsidR="00F806FA" w:rsidRDefault="00F806FA" w:rsidP="00F806FA">
      <w:pPr>
        <w:pStyle w:val="NoSpacing"/>
        <w:numPr>
          <w:ilvl w:val="0"/>
          <w:numId w:val="11"/>
        </w:numPr>
      </w:pPr>
      <w:r>
        <w:t xml:space="preserve">501(c)(3) organizations in good standing with the Internal Revenue Service or have </w:t>
      </w:r>
      <w:r w:rsidR="005B20E7">
        <w:t>a 501</w:t>
      </w:r>
      <w:r>
        <w:t>(c)(3) fiduciary sponsor.</w:t>
      </w:r>
    </w:p>
    <w:p w14:paraId="2295BDE6" w14:textId="77777777" w:rsidR="00F806FA" w:rsidRDefault="00F806FA" w:rsidP="00F806FA">
      <w:pPr>
        <w:pStyle w:val="NoSpacing"/>
        <w:numPr>
          <w:ilvl w:val="0"/>
          <w:numId w:val="11"/>
        </w:numPr>
      </w:pPr>
      <w:r>
        <w:t xml:space="preserve">Beneficiaries of funded projects, programs, and proposals must be </w:t>
      </w:r>
      <w:proofErr w:type="gramStart"/>
      <w:r>
        <w:t>a majority of</w:t>
      </w:r>
      <w:proofErr w:type="gramEnd"/>
      <w:r>
        <w:t xml:space="preserve"> women and girls of Hispanic heritage.  </w:t>
      </w:r>
    </w:p>
    <w:p w14:paraId="65A2D959" w14:textId="77777777" w:rsidR="00F806FA" w:rsidRDefault="00F806FA" w:rsidP="00F806FA">
      <w:pPr>
        <w:pStyle w:val="NoSpacing"/>
        <w:numPr>
          <w:ilvl w:val="0"/>
          <w:numId w:val="11"/>
        </w:numPr>
      </w:pPr>
      <w:r>
        <w:t>Organizations demonstrating strong Hispanic board, leadership, and staff representation.</w:t>
      </w:r>
    </w:p>
    <w:p w14:paraId="33791F66" w14:textId="17D65B02" w:rsidR="00F806FA" w:rsidRDefault="00312438" w:rsidP="00312438">
      <w:pPr>
        <w:pStyle w:val="NoSpacing"/>
        <w:numPr>
          <w:ilvl w:val="0"/>
          <w:numId w:val="11"/>
        </w:numPr>
      </w:pPr>
      <w:r>
        <w:t>Organizations funded by the H100 Latina Giving Circle for the three most recent consecutive years (202</w:t>
      </w:r>
      <w:r w:rsidR="002F2B46">
        <w:t>3</w:t>
      </w:r>
      <w:r>
        <w:t>, 202</w:t>
      </w:r>
      <w:r w:rsidR="002F2B46">
        <w:t>4</w:t>
      </w:r>
      <w:r>
        <w:t>, 202</w:t>
      </w:r>
      <w:r w:rsidR="002F2B46">
        <w:t>5</w:t>
      </w:r>
      <w:r>
        <w:t>) will not be considered for funding in 202</w:t>
      </w:r>
      <w:r w:rsidR="002F2B46">
        <w:t>6</w:t>
      </w:r>
      <w:r>
        <w:t xml:space="preserve">. </w:t>
      </w:r>
    </w:p>
    <w:p w14:paraId="1BB17D4D" w14:textId="77777777" w:rsidR="00312438" w:rsidRDefault="00312438" w:rsidP="00F806FA">
      <w:pPr>
        <w:pStyle w:val="NoSpacing"/>
      </w:pPr>
    </w:p>
    <w:p w14:paraId="48B64D64" w14:textId="77777777" w:rsidR="00F806FA" w:rsidRDefault="00F806FA" w:rsidP="00F806FA">
      <w:pPr>
        <w:pStyle w:val="NoSpacing"/>
        <w:rPr>
          <w:b/>
          <w:bCs/>
          <w:sz w:val="24"/>
          <w:szCs w:val="24"/>
        </w:rPr>
      </w:pPr>
      <w:r>
        <w:rPr>
          <w:b/>
          <w:bCs/>
          <w:sz w:val="24"/>
          <w:szCs w:val="24"/>
        </w:rPr>
        <w:t>Ineligible Grant Requests</w:t>
      </w:r>
    </w:p>
    <w:p w14:paraId="14C3DE28" w14:textId="77777777" w:rsidR="00F806FA" w:rsidRDefault="00F806FA" w:rsidP="00F806FA">
      <w:pPr>
        <w:pStyle w:val="NoSpacing"/>
      </w:pPr>
      <w:r>
        <w:t xml:space="preserve">The H100 Latina Giving Circle </w:t>
      </w:r>
      <w:r>
        <w:rPr>
          <w:u w:val="single" w:color="000000"/>
        </w:rPr>
        <w:t>does not</w:t>
      </w:r>
      <w:r>
        <w:t xml:space="preserve"> fund: </w:t>
      </w:r>
    </w:p>
    <w:p w14:paraId="392E5C6E" w14:textId="77777777" w:rsidR="00F806FA" w:rsidRDefault="00F806FA" w:rsidP="00F806FA">
      <w:pPr>
        <w:pStyle w:val="NoSpacing"/>
        <w:numPr>
          <w:ilvl w:val="0"/>
          <w:numId w:val="12"/>
        </w:numPr>
      </w:pPr>
      <w:r>
        <w:t xml:space="preserve">Individuals </w:t>
      </w:r>
    </w:p>
    <w:p w14:paraId="429CAEC5" w14:textId="77777777" w:rsidR="00F806FA" w:rsidRDefault="00F806FA" w:rsidP="00F806FA">
      <w:pPr>
        <w:pStyle w:val="NoSpacing"/>
        <w:numPr>
          <w:ilvl w:val="0"/>
          <w:numId w:val="12"/>
        </w:numPr>
      </w:pPr>
      <w:r>
        <w:t xml:space="preserve">Campaigns to elect public officials or for political or lobbying efforts </w:t>
      </w:r>
    </w:p>
    <w:p w14:paraId="0FE987FF" w14:textId="77777777" w:rsidR="00F806FA" w:rsidRDefault="00F806FA" w:rsidP="00F806FA">
      <w:pPr>
        <w:pStyle w:val="NoSpacing"/>
        <w:numPr>
          <w:ilvl w:val="0"/>
          <w:numId w:val="12"/>
        </w:numPr>
      </w:pPr>
      <w:r>
        <w:t xml:space="preserve">Programs that promote religious activities proselytize or require adherence to a particular religion.  </w:t>
      </w:r>
    </w:p>
    <w:p w14:paraId="0D12FF9B" w14:textId="77777777" w:rsidR="00F806FA" w:rsidRDefault="00F806FA" w:rsidP="00F806FA">
      <w:pPr>
        <w:pStyle w:val="NoSpacing"/>
        <w:numPr>
          <w:ilvl w:val="0"/>
          <w:numId w:val="12"/>
        </w:numPr>
      </w:pPr>
      <w:r>
        <w:t xml:space="preserve">Projects which take place before the completion of the grant-making process </w:t>
      </w:r>
    </w:p>
    <w:p w14:paraId="47B7DBAE" w14:textId="1B6B70F4" w:rsidR="007C6CF3" w:rsidRDefault="00F806FA" w:rsidP="007C6CF3">
      <w:pPr>
        <w:pStyle w:val="NoSpacing"/>
        <w:numPr>
          <w:ilvl w:val="0"/>
          <w:numId w:val="12"/>
        </w:numPr>
      </w:pPr>
      <w:r>
        <w:t xml:space="preserve">Projects inconsistent with federal, state, and local nondiscrimination ordinances regarding equal employment opportunity </w:t>
      </w:r>
    </w:p>
    <w:p w14:paraId="58D25256" w14:textId="77777777" w:rsidR="00F806FA" w:rsidRDefault="00F806FA" w:rsidP="00F806FA">
      <w:pPr>
        <w:pStyle w:val="NoSpacing"/>
        <w:numPr>
          <w:ilvl w:val="0"/>
          <w:numId w:val="12"/>
        </w:numPr>
      </w:pPr>
      <w:r>
        <w:t xml:space="preserve">Grants that ultimately will go wholly to another agency other than the applicant (pass-through) </w:t>
      </w:r>
    </w:p>
    <w:p w14:paraId="17AD898E" w14:textId="77777777" w:rsidR="00F806FA" w:rsidRDefault="00F806FA" w:rsidP="00F806FA">
      <w:pPr>
        <w:pStyle w:val="NoSpacing"/>
        <w:numPr>
          <w:ilvl w:val="0"/>
          <w:numId w:val="12"/>
        </w:numPr>
      </w:pPr>
      <w:r>
        <w:t xml:space="preserve">Organizations that can levy taxes (i.e., government agencies, school districts, city offices, or departments) </w:t>
      </w:r>
    </w:p>
    <w:p w14:paraId="7782DE08" w14:textId="77777777" w:rsidR="00F806FA" w:rsidRDefault="00F806FA" w:rsidP="00F806FA">
      <w:pPr>
        <w:pStyle w:val="NoSpacing"/>
        <w:numPr>
          <w:ilvl w:val="0"/>
          <w:numId w:val="12"/>
        </w:numPr>
      </w:pPr>
      <w:r>
        <w:t>Non-profit capital campaigns</w:t>
      </w:r>
    </w:p>
    <w:p w14:paraId="3B4F6B57" w14:textId="28122E0B" w:rsidR="00312438" w:rsidRDefault="00312438" w:rsidP="00F806FA">
      <w:pPr>
        <w:pStyle w:val="NoSpacing"/>
      </w:pPr>
    </w:p>
    <w:p w14:paraId="64A07F3D" w14:textId="77777777" w:rsidR="00312438" w:rsidRDefault="00312438">
      <w:r>
        <w:br w:type="page"/>
      </w:r>
    </w:p>
    <w:p w14:paraId="47C48380" w14:textId="77777777" w:rsidR="00F806FA" w:rsidRDefault="00F806FA" w:rsidP="00F806FA">
      <w:pPr>
        <w:pStyle w:val="NoSpacing"/>
        <w:rPr>
          <w:b/>
          <w:bCs/>
          <w:sz w:val="24"/>
          <w:szCs w:val="24"/>
        </w:rPr>
      </w:pPr>
    </w:p>
    <w:p w14:paraId="1D3E9DDB" w14:textId="485D388E" w:rsidR="00F806FA" w:rsidRDefault="00F806FA" w:rsidP="00F806FA">
      <w:pPr>
        <w:pStyle w:val="NoSpacing"/>
        <w:rPr>
          <w:b/>
          <w:bCs/>
          <w:sz w:val="24"/>
          <w:szCs w:val="24"/>
        </w:rPr>
      </w:pPr>
      <w:r>
        <w:rPr>
          <w:b/>
          <w:bCs/>
          <w:sz w:val="24"/>
          <w:szCs w:val="24"/>
        </w:rPr>
        <w:t xml:space="preserve">Grant Process </w:t>
      </w:r>
    </w:p>
    <w:p w14:paraId="063A8CD7" w14:textId="1FA25710" w:rsidR="00F806FA" w:rsidRDefault="00F806FA" w:rsidP="00F806FA">
      <w:pPr>
        <w:pStyle w:val="NoSpacing"/>
      </w:pPr>
      <w:r>
        <w:t xml:space="preserve">A complete application must be submitted through the online grant portal, including all properly labeled attachments, by </w:t>
      </w:r>
      <w:r w:rsidR="00B64B68">
        <w:rPr>
          <w:b/>
          <w:bCs/>
        </w:rPr>
        <w:t xml:space="preserve">May </w:t>
      </w:r>
      <w:r w:rsidR="00333E56">
        <w:rPr>
          <w:b/>
          <w:bCs/>
        </w:rPr>
        <w:t xml:space="preserve">21, </w:t>
      </w:r>
      <w:r w:rsidR="00312438">
        <w:rPr>
          <w:b/>
          <w:bCs/>
        </w:rPr>
        <w:t>2025,</w:t>
      </w:r>
      <w:r w:rsidR="00333E56">
        <w:rPr>
          <w:b/>
          <w:bCs/>
        </w:rPr>
        <w:t xml:space="preserve"> </w:t>
      </w:r>
      <w:r>
        <w:rPr>
          <w:b/>
          <w:bCs/>
        </w:rPr>
        <w:t xml:space="preserve">at </w:t>
      </w:r>
      <w:r w:rsidR="00333E56">
        <w:rPr>
          <w:b/>
          <w:bCs/>
        </w:rPr>
        <w:t xml:space="preserve">12 </w:t>
      </w:r>
      <w:r w:rsidR="00312438">
        <w:rPr>
          <w:b/>
          <w:bCs/>
        </w:rPr>
        <w:t xml:space="preserve">noon </w:t>
      </w:r>
      <w:r w:rsidR="00333E56">
        <w:rPr>
          <w:b/>
          <w:bCs/>
        </w:rPr>
        <w:t xml:space="preserve">pm </w:t>
      </w:r>
      <w:r>
        <w:rPr>
          <w:b/>
          <w:bCs/>
        </w:rPr>
        <w:t>CST</w:t>
      </w:r>
      <w:r>
        <w:rPr>
          <w:b/>
        </w:rPr>
        <w:t xml:space="preserve">. </w:t>
      </w:r>
      <w:r>
        <w:t xml:space="preserve"> </w:t>
      </w:r>
    </w:p>
    <w:p w14:paraId="0F39C304" w14:textId="77777777" w:rsidR="00F806FA" w:rsidRDefault="00F806FA" w:rsidP="00F806FA">
      <w:pPr>
        <w:pStyle w:val="NoSpacing"/>
      </w:pPr>
    </w:p>
    <w:p w14:paraId="35FB18B1" w14:textId="77777777" w:rsidR="00F806FA" w:rsidRDefault="00F806FA" w:rsidP="00F806FA">
      <w:pPr>
        <w:pStyle w:val="NoSpacing"/>
      </w:pPr>
      <w:r>
        <w:t xml:space="preserve">Please do not submit any additional items not requested in the application, including CDs, DVDs, newsletters, brochures, evaluation matrices, letters of support, etc.   </w:t>
      </w:r>
    </w:p>
    <w:p w14:paraId="7CEF0687" w14:textId="77777777" w:rsidR="00F806FA" w:rsidRDefault="00F806FA" w:rsidP="00F806FA">
      <w:pPr>
        <w:pStyle w:val="NoSpacing"/>
      </w:pPr>
    </w:p>
    <w:p w14:paraId="4ED96481" w14:textId="0E1F1774" w:rsidR="007E4420" w:rsidRDefault="007E4420" w:rsidP="007E4420">
      <w:r>
        <w:t>Questions concerning the guidelines and accessing the online application &amp; grants portal should be directed to</w:t>
      </w:r>
      <w:r w:rsidR="003F2FDE">
        <w:t xml:space="preserve"> </w:t>
      </w:r>
      <w:hyperlink r:id="rId12" w:history="1">
        <w:r w:rsidR="003F2FDE" w:rsidRPr="00D2773D">
          <w:rPr>
            <w:rStyle w:val="Hyperlink"/>
          </w:rPr>
          <w:t>grants@txwf.org</w:t>
        </w:r>
      </w:hyperlink>
      <w:r w:rsidR="003F2FDE">
        <w:t>.</w:t>
      </w:r>
    </w:p>
    <w:p w14:paraId="2056149A" w14:textId="77777777" w:rsidR="00F806FA" w:rsidRDefault="00F806FA" w:rsidP="00F806FA">
      <w:pPr>
        <w:pStyle w:val="NoSpacing"/>
      </w:pPr>
    </w:p>
    <w:p w14:paraId="21611637" w14:textId="77777777" w:rsidR="00F806FA" w:rsidRDefault="00F806FA" w:rsidP="00F806FA">
      <w:pPr>
        <w:pStyle w:val="NoSpacing"/>
        <w:rPr>
          <w:b/>
          <w:bCs/>
          <w:sz w:val="24"/>
          <w:szCs w:val="24"/>
        </w:rPr>
      </w:pPr>
      <w:r>
        <w:rPr>
          <w:b/>
          <w:bCs/>
          <w:sz w:val="24"/>
          <w:szCs w:val="24"/>
        </w:rPr>
        <w:t xml:space="preserve">Grant Request Timeline </w:t>
      </w:r>
    </w:p>
    <w:tbl>
      <w:tblPr>
        <w:tblStyle w:val="TableGrid0"/>
        <w:tblW w:w="0" w:type="auto"/>
        <w:tblLook w:val="04A0" w:firstRow="1" w:lastRow="0" w:firstColumn="1" w:lastColumn="0" w:noHBand="0" w:noVBand="1"/>
      </w:tblPr>
      <w:tblGrid>
        <w:gridCol w:w="5395"/>
        <w:gridCol w:w="5395"/>
      </w:tblGrid>
      <w:tr w:rsidR="00F806FA" w14:paraId="6A203B01" w14:textId="77777777" w:rsidTr="00312438">
        <w:trPr>
          <w:trHeight w:val="548"/>
        </w:trPr>
        <w:tc>
          <w:tcPr>
            <w:tcW w:w="5395" w:type="dxa"/>
            <w:tcBorders>
              <w:top w:val="single" w:sz="4" w:space="0" w:color="auto"/>
              <w:left w:val="single" w:sz="4" w:space="0" w:color="auto"/>
              <w:bottom w:val="single" w:sz="4" w:space="0" w:color="auto"/>
              <w:right w:val="single" w:sz="4" w:space="0" w:color="auto"/>
            </w:tcBorders>
            <w:hideMark/>
          </w:tcPr>
          <w:p w14:paraId="59A4D0ED" w14:textId="77777777" w:rsidR="00F806FA" w:rsidRDefault="00F806FA">
            <w:pPr>
              <w:pStyle w:val="NoSpacing"/>
            </w:pPr>
            <w:r>
              <w:t>Online application available:</w:t>
            </w:r>
          </w:p>
        </w:tc>
        <w:tc>
          <w:tcPr>
            <w:tcW w:w="5395" w:type="dxa"/>
            <w:tcBorders>
              <w:top w:val="single" w:sz="4" w:space="0" w:color="auto"/>
              <w:left w:val="single" w:sz="4" w:space="0" w:color="auto"/>
              <w:bottom w:val="single" w:sz="4" w:space="0" w:color="auto"/>
              <w:right w:val="single" w:sz="4" w:space="0" w:color="auto"/>
            </w:tcBorders>
            <w:hideMark/>
          </w:tcPr>
          <w:p w14:paraId="22EFF1E9" w14:textId="3EAB7E74" w:rsidR="00F806FA" w:rsidRDefault="00DA5C19">
            <w:pPr>
              <w:pStyle w:val="NoSpacing"/>
            </w:pPr>
            <w:r>
              <w:t xml:space="preserve">April </w:t>
            </w:r>
            <w:r w:rsidR="002F2B46">
              <w:t>23, 2026</w:t>
            </w:r>
          </w:p>
        </w:tc>
      </w:tr>
      <w:tr w:rsidR="00334F93" w14:paraId="443DB644" w14:textId="77777777" w:rsidTr="00312438">
        <w:trPr>
          <w:trHeight w:val="530"/>
        </w:trPr>
        <w:tc>
          <w:tcPr>
            <w:tcW w:w="5395" w:type="dxa"/>
            <w:tcBorders>
              <w:top w:val="single" w:sz="4" w:space="0" w:color="auto"/>
              <w:left w:val="single" w:sz="4" w:space="0" w:color="auto"/>
              <w:bottom w:val="single" w:sz="4" w:space="0" w:color="auto"/>
              <w:right w:val="single" w:sz="4" w:space="0" w:color="auto"/>
            </w:tcBorders>
            <w:hideMark/>
          </w:tcPr>
          <w:p w14:paraId="71847A84" w14:textId="027F4443" w:rsidR="00334F93" w:rsidRDefault="00334F93">
            <w:pPr>
              <w:pStyle w:val="NoSpacing"/>
            </w:pPr>
            <w:r>
              <w:t>Application deadline for 202</w:t>
            </w:r>
            <w:r w:rsidR="003F2FDE">
              <w:t>3</w:t>
            </w:r>
          </w:p>
        </w:tc>
        <w:tc>
          <w:tcPr>
            <w:tcW w:w="5395" w:type="dxa"/>
            <w:tcBorders>
              <w:top w:val="single" w:sz="4" w:space="0" w:color="auto"/>
              <w:left w:val="single" w:sz="4" w:space="0" w:color="auto"/>
              <w:bottom w:val="single" w:sz="4" w:space="0" w:color="auto"/>
              <w:right w:val="single" w:sz="4" w:space="0" w:color="auto"/>
            </w:tcBorders>
            <w:hideMark/>
          </w:tcPr>
          <w:p w14:paraId="025CFC0A" w14:textId="52E6E8DB" w:rsidR="00334F93" w:rsidRDefault="00B64B68">
            <w:pPr>
              <w:pStyle w:val="NoSpacing"/>
            </w:pPr>
            <w:r>
              <w:t>May</w:t>
            </w:r>
            <w:r w:rsidR="00334F93">
              <w:t xml:space="preserve"> </w:t>
            </w:r>
            <w:r w:rsidR="00DA5C19">
              <w:t>2</w:t>
            </w:r>
            <w:r w:rsidR="002F2B46">
              <w:t>0</w:t>
            </w:r>
            <w:r w:rsidR="00DA5C19">
              <w:t xml:space="preserve">, </w:t>
            </w:r>
            <w:r w:rsidR="00312438">
              <w:t>202</w:t>
            </w:r>
            <w:r w:rsidR="002F2B46">
              <w:t>6</w:t>
            </w:r>
            <w:r w:rsidR="00312438">
              <w:t>,</w:t>
            </w:r>
            <w:r w:rsidR="00DA5C19">
              <w:t xml:space="preserve"> at 12 pm noon</w:t>
            </w:r>
            <w:r w:rsidR="00334F93">
              <w:t xml:space="preserve"> C</w:t>
            </w:r>
            <w:r w:rsidR="002F2B46">
              <w:t>D</w:t>
            </w:r>
            <w:r w:rsidR="00334F93">
              <w:t xml:space="preserve">T </w:t>
            </w:r>
          </w:p>
        </w:tc>
      </w:tr>
      <w:tr w:rsidR="00334F93" w14:paraId="3B095785" w14:textId="77777777" w:rsidTr="00334F93">
        <w:tc>
          <w:tcPr>
            <w:tcW w:w="5395" w:type="dxa"/>
            <w:tcBorders>
              <w:top w:val="single" w:sz="4" w:space="0" w:color="auto"/>
              <w:left w:val="single" w:sz="4" w:space="0" w:color="auto"/>
              <w:bottom w:val="single" w:sz="4" w:space="0" w:color="auto"/>
              <w:right w:val="single" w:sz="4" w:space="0" w:color="auto"/>
            </w:tcBorders>
            <w:hideMark/>
          </w:tcPr>
          <w:p w14:paraId="0E86361C" w14:textId="597C1F9E" w:rsidR="00334F93" w:rsidRDefault="00334F93">
            <w:pPr>
              <w:pStyle w:val="NoSpacing"/>
            </w:pPr>
            <w:r>
              <w:t>Notification of</w:t>
            </w:r>
            <w:r w:rsidR="00B64B68">
              <w:t xml:space="preserve"> site visit</w:t>
            </w:r>
            <w:r>
              <w:t>/ or elimination from consideration</w:t>
            </w:r>
          </w:p>
        </w:tc>
        <w:tc>
          <w:tcPr>
            <w:tcW w:w="5395" w:type="dxa"/>
            <w:tcBorders>
              <w:top w:val="single" w:sz="4" w:space="0" w:color="auto"/>
              <w:left w:val="single" w:sz="4" w:space="0" w:color="auto"/>
              <w:bottom w:val="single" w:sz="4" w:space="0" w:color="auto"/>
              <w:right w:val="single" w:sz="4" w:space="0" w:color="auto"/>
            </w:tcBorders>
            <w:hideMark/>
          </w:tcPr>
          <w:p w14:paraId="4DD68DC3" w14:textId="4BF73FFD" w:rsidR="00334F93" w:rsidRDefault="008456B0">
            <w:pPr>
              <w:pStyle w:val="NoSpacing"/>
            </w:pPr>
            <w:r>
              <w:t>Ju</w:t>
            </w:r>
            <w:r w:rsidR="00DA5C19">
              <w:t xml:space="preserve">ly </w:t>
            </w:r>
            <w:r w:rsidR="002F2B46">
              <w:t>14, 2026</w:t>
            </w:r>
          </w:p>
        </w:tc>
      </w:tr>
      <w:tr w:rsidR="00334F93" w14:paraId="51FF261C" w14:textId="77777777" w:rsidTr="00312438">
        <w:trPr>
          <w:trHeight w:val="521"/>
        </w:trPr>
        <w:tc>
          <w:tcPr>
            <w:tcW w:w="5395" w:type="dxa"/>
            <w:tcBorders>
              <w:top w:val="single" w:sz="4" w:space="0" w:color="auto"/>
              <w:left w:val="single" w:sz="4" w:space="0" w:color="auto"/>
              <w:bottom w:val="single" w:sz="4" w:space="0" w:color="auto"/>
              <w:right w:val="single" w:sz="4" w:space="0" w:color="auto"/>
            </w:tcBorders>
            <w:hideMark/>
          </w:tcPr>
          <w:p w14:paraId="706F4F72" w14:textId="1B64FAB0" w:rsidR="00334F93" w:rsidRDefault="00B64B68">
            <w:pPr>
              <w:pStyle w:val="NoSpacing"/>
            </w:pPr>
            <w:r>
              <w:t xml:space="preserve">Virtual or </w:t>
            </w:r>
            <w:r w:rsidR="00F150EE">
              <w:t>On-Site</w:t>
            </w:r>
            <w:r w:rsidR="00334F93">
              <w:t xml:space="preserve"> Meeting period</w:t>
            </w:r>
          </w:p>
        </w:tc>
        <w:tc>
          <w:tcPr>
            <w:tcW w:w="5395" w:type="dxa"/>
            <w:tcBorders>
              <w:top w:val="single" w:sz="4" w:space="0" w:color="auto"/>
              <w:left w:val="single" w:sz="4" w:space="0" w:color="auto"/>
              <w:bottom w:val="single" w:sz="4" w:space="0" w:color="auto"/>
              <w:right w:val="single" w:sz="4" w:space="0" w:color="auto"/>
            </w:tcBorders>
            <w:hideMark/>
          </w:tcPr>
          <w:p w14:paraId="7947C936" w14:textId="0C47780A" w:rsidR="00334F93" w:rsidRDefault="00DA5C19">
            <w:pPr>
              <w:pStyle w:val="NoSpacing"/>
            </w:pPr>
            <w:r>
              <w:t>August 1</w:t>
            </w:r>
            <w:r w:rsidR="002F2B46">
              <w:t>7- 28</w:t>
            </w:r>
            <w:r>
              <w:t>, 202</w:t>
            </w:r>
            <w:r w:rsidR="002F2B46">
              <w:t>6</w:t>
            </w:r>
            <w:r>
              <w:t xml:space="preserve"> </w:t>
            </w:r>
          </w:p>
        </w:tc>
      </w:tr>
      <w:tr w:rsidR="00334F93" w14:paraId="5F001EBC" w14:textId="77777777" w:rsidTr="00312438">
        <w:trPr>
          <w:trHeight w:val="530"/>
        </w:trPr>
        <w:tc>
          <w:tcPr>
            <w:tcW w:w="5395" w:type="dxa"/>
            <w:tcBorders>
              <w:top w:val="single" w:sz="4" w:space="0" w:color="auto"/>
              <w:left w:val="single" w:sz="4" w:space="0" w:color="auto"/>
              <w:bottom w:val="single" w:sz="4" w:space="0" w:color="auto"/>
              <w:right w:val="single" w:sz="4" w:space="0" w:color="auto"/>
            </w:tcBorders>
            <w:hideMark/>
          </w:tcPr>
          <w:p w14:paraId="4465E600" w14:textId="38D58C5E" w:rsidR="00334F93" w:rsidRDefault="00334F93">
            <w:pPr>
              <w:pStyle w:val="NoSpacing"/>
            </w:pPr>
            <w:r>
              <w:t>Final notification of grant status</w:t>
            </w:r>
          </w:p>
        </w:tc>
        <w:tc>
          <w:tcPr>
            <w:tcW w:w="5395" w:type="dxa"/>
            <w:tcBorders>
              <w:top w:val="single" w:sz="4" w:space="0" w:color="auto"/>
              <w:left w:val="single" w:sz="4" w:space="0" w:color="auto"/>
              <w:bottom w:val="single" w:sz="4" w:space="0" w:color="auto"/>
              <w:right w:val="single" w:sz="4" w:space="0" w:color="auto"/>
            </w:tcBorders>
            <w:hideMark/>
          </w:tcPr>
          <w:p w14:paraId="14356213" w14:textId="6C4B21B3" w:rsidR="00334F93" w:rsidRDefault="00DA5C19">
            <w:pPr>
              <w:pStyle w:val="NoSpacing"/>
            </w:pPr>
            <w:r>
              <w:t xml:space="preserve">September </w:t>
            </w:r>
            <w:r w:rsidR="002F2B46">
              <w:t xml:space="preserve">11, </w:t>
            </w:r>
            <w:proofErr w:type="gramStart"/>
            <w:r w:rsidR="002F2B46">
              <w:t>2026</w:t>
            </w:r>
            <w:proofErr w:type="gramEnd"/>
            <w:r>
              <w:t xml:space="preserve"> </w:t>
            </w:r>
          </w:p>
        </w:tc>
      </w:tr>
    </w:tbl>
    <w:p w14:paraId="0A06898E" w14:textId="77777777" w:rsidR="00634415" w:rsidRDefault="00634415" w:rsidP="00F806FA">
      <w:pPr>
        <w:pStyle w:val="NoSpacing"/>
        <w:rPr>
          <w:b/>
          <w:bCs/>
          <w:sz w:val="24"/>
          <w:szCs w:val="24"/>
        </w:rPr>
      </w:pPr>
    </w:p>
    <w:p w14:paraId="2F3A300D" w14:textId="41706BF9" w:rsidR="00F806FA" w:rsidRDefault="00F806FA" w:rsidP="00F806FA">
      <w:pPr>
        <w:pStyle w:val="NoSpacing"/>
        <w:rPr>
          <w:b/>
          <w:bCs/>
          <w:sz w:val="24"/>
          <w:szCs w:val="24"/>
        </w:rPr>
      </w:pPr>
      <w:r>
        <w:rPr>
          <w:b/>
          <w:bCs/>
          <w:sz w:val="24"/>
          <w:szCs w:val="24"/>
        </w:rPr>
        <w:t xml:space="preserve">Target Funding Areas </w:t>
      </w:r>
      <w:r w:rsidR="00A843FE">
        <w:rPr>
          <w:b/>
          <w:bCs/>
          <w:sz w:val="24"/>
          <w:szCs w:val="24"/>
        </w:rPr>
        <w:t>(Geography and Key Issues)</w:t>
      </w:r>
    </w:p>
    <w:p w14:paraId="6652318C" w14:textId="4DAA6060" w:rsidR="00F806FA" w:rsidRDefault="00F806FA" w:rsidP="00F806FA">
      <w:pPr>
        <w:pStyle w:val="NoSpacing"/>
      </w:pPr>
      <w:r>
        <w:t>We seek to fund proposals for the 202</w:t>
      </w:r>
      <w:r w:rsidR="002F2B46">
        <w:t>6</w:t>
      </w:r>
      <w:r>
        <w:t xml:space="preserve"> giving cycle from North Texas-based non-profit organizations</w:t>
      </w:r>
      <w:r w:rsidR="002F2B46">
        <w:t xml:space="preserve"> serving </w:t>
      </w:r>
      <w:r>
        <w:t xml:space="preserve">Dallas, Collin, </w:t>
      </w:r>
      <w:r w:rsidR="00DA5C19">
        <w:t xml:space="preserve">Denton, </w:t>
      </w:r>
      <w:r>
        <w:t xml:space="preserve">and Tarrant counties, empowering Hispanic </w:t>
      </w:r>
      <w:r w:rsidR="00C22DCC">
        <w:t>women</w:t>
      </w:r>
      <w:r w:rsidR="00C60663">
        <w:t xml:space="preserve"> </w:t>
      </w:r>
      <w:r>
        <w:t xml:space="preserve">and girls to achieve their potential and supporting the underserved Hispanic community of North Texas in general. </w:t>
      </w:r>
    </w:p>
    <w:p w14:paraId="49D6887A" w14:textId="77777777" w:rsidR="00DD6480" w:rsidRDefault="00DD6480" w:rsidP="00F806FA">
      <w:pPr>
        <w:pStyle w:val="NoSpacing"/>
      </w:pPr>
    </w:p>
    <w:p w14:paraId="327BA3B7" w14:textId="7DF3FC92" w:rsidR="00580433" w:rsidRDefault="00580433" w:rsidP="00F806FA">
      <w:pPr>
        <w:pStyle w:val="NoSpacing"/>
      </w:pPr>
      <w:r w:rsidRPr="0052086D">
        <w:rPr>
          <w:b/>
          <w:bCs/>
        </w:rPr>
        <w:t>Human Safety &amp; Security</w:t>
      </w:r>
      <w:r>
        <w:t xml:space="preserve"> – Healthcare services, human safety, childhood literacy &amp; education, family support (</w:t>
      </w:r>
      <w:r w:rsidR="005B20E7">
        <w:t>childcare</w:t>
      </w:r>
      <w:r w:rsidR="00F41DAA">
        <w:t xml:space="preserve"> services, parental or caregiving education), </w:t>
      </w:r>
      <w:r w:rsidR="00CE105E">
        <w:t xml:space="preserve">bilingual services, Hispanic women’s </w:t>
      </w:r>
      <w:r w:rsidR="00A03BBA">
        <w:t xml:space="preserve">civil </w:t>
      </w:r>
      <w:r w:rsidR="00C60663">
        <w:t>rights</w:t>
      </w:r>
      <w:r w:rsidR="00A03BBA">
        <w:t xml:space="preserve"> services, integrative financial support and literacy, </w:t>
      </w:r>
      <w:r w:rsidR="00FB386D">
        <w:t xml:space="preserve">and </w:t>
      </w:r>
      <w:r w:rsidR="00A03BBA">
        <w:t>food security.</w:t>
      </w:r>
    </w:p>
    <w:p w14:paraId="7A186980" w14:textId="77777777" w:rsidR="00580433" w:rsidRDefault="00580433" w:rsidP="00F806FA">
      <w:pPr>
        <w:pStyle w:val="NoSpacing"/>
      </w:pPr>
    </w:p>
    <w:p w14:paraId="68107B05" w14:textId="3984BCDB" w:rsidR="00DD6480" w:rsidRDefault="003E3AF1" w:rsidP="00F806FA">
      <w:pPr>
        <w:pStyle w:val="NoSpacing"/>
      </w:pPr>
      <w:r w:rsidRPr="0052086D">
        <w:rPr>
          <w:b/>
          <w:bCs/>
        </w:rPr>
        <w:t>Learning and Development</w:t>
      </w:r>
      <w:r>
        <w:t xml:space="preserve"> – Job readiness, college readiness, career readiness, </w:t>
      </w:r>
      <w:r w:rsidR="004E3F26">
        <w:t xml:space="preserve">and </w:t>
      </w:r>
      <w:r>
        <w:t>re</w:t>
      </w:r>
      <w:r w:rsidR="004E3F26">
        <w:t>turn to work programs.</w:t>
      </w:r>
    </w:p>
    <w:p w14:paraId="6BE44C7D" w14:textId="77777777" w:rsidR="00634415" w:rsidRDefault="00634415" w:rsidP="00F806FA">
      <w:pPr>
        <w:pStyle w:val="NoSpacing"/>
        <w:rPr>
          <w:b/>
          <w:bCs/>
          <w:sz w:val="24"/>
          <w:szCs w:val="24"/>
        </w:rPr>
      </w:pPr>
    </w:p>
    <w:p w14:paraId="1967D91E" w14:textId="37D7C66E" w:rsidR="00F806FA" w:rsidRDefault="00F806FA" w:rsidP="00F806FA">
      <w:pPr>
        <w:pStyle w:val="NoSpacing"/>
      </w:pPr>
      <w:r>
        <w:rPr>
          <w:b/>
          <w:bCs/>
          <w:sz w:val="24"/>
          <w:szCs w:val="24"/>
        </w:rPr>
        <w:t xml:space="preserve">Grant Limits  </w:t>
      </w:r>
    </w:p>
    <w:p w14:paraId="40011323" w14:textId="626A7BD0" w:rsidR="00F806FA" w:rsidRDefault="00F806FA" w:rsidP="00F806FA">
      <w:pPr>
        <w:pStyle w:val="NoSpacing"/>
      </w:pPr>
      <w:r>
        <w:t>H100 Latina Giving Circle grant-making</w:t>
      </w:r>
      <w:r w:rsidR="009D6BE5">
        <w:t xml:space="preserve"> </w:t>
      </w:r>
      <w:r w:rsidR="00333E56">
        <w:t xml:space="preserve">is limited to a maximum of $10,000 per nonprofit per year.  </w:t>
      </w:r>
    </w:p>
    <w:p w14:paraId="20F71D4D" w14:textId="77777777" w:rsidR="00634415" w:rsidRDefault="00634415" w:rsidP="00F806FA">
      <w:pPr>
        <w:pStyle w:val="NoSpacing"/>
        <w:rPr>
          <w:b/>
          <w:bCs/>
          <w:sz w:val="24"/>
          <w:szCs w:val="24"/>
        </w:rPr>
      </w:pPr>
    </w:p>
    <w:p w14:paraId="7DE2904E" w14:textId="30575225" w:rsidR="00F806FA" w:rsidRDefault="00F806FA" w:rsidP="00F806FA">
      <w:pPr>
        <w:pStyle w:val="NoSpacing"/>
        <w:rPr>
          <w:b/>
          <w:bCs/>
          <w:sz w:val="24"/>
          <w:szCs w:val="24"/>
        </w:rPr>
      </w:pPr>
      <w:r>
        <w:rPr>
          <w:b/>
          <w:bCs/>
          <w:sz w:val="24"/>
          <w:szCs w:val="24"/>
        </w:rPr>
        <w:t xml:space="preserve">Grant Decision Making Criteria  </w:t>
      </w:r>
    </w:p>
    <w:p w14:paraId="77C70901" w14:textId="61690A99" w:rsidR="00F806FA" w:rsidRDefault="00F806FA" w:rsidP="00F806FA">
      <w:pPr>
        <w:pStyle w:val="NoSpacing"/>
      </w:pPr>
      <w:r>
        <w:rPr>
          <w:b/>
          <w:bCs/>
        </w:rPr>
        <w:t>Economic Empowerment</w:t>
      </w:r>
      <w:r>
        <w:t xml:space="preserve"> – programs and services</w:t>
      </w:r>
      <w:r w:rsidR="00C55AE1">
        <w:t xml:space="preserve"> </w:t>
      </w:r>
      <w:r>
        <w:t xml:space="preserve">that help improve the long-term economic circumstances of Hispanic women and children to empower their families and communities. </w:t>
      </w:r>
      <w:r w:rsidR="00A736E0">
        <w:t>Programs and services include job-, college- and career-readiness programs</w:t>
      </w:r>
      <w:r w:rsidR="00316F59">
        <w:t>,</w:t>
      </w:r>
      <w:r w:rsidR="00A736E0">
        <w:t xml:space="preserve"> STEM</w:t>
      </w:r>
      <w:r w:rsidR="00316F59">
        <w:t xml:space="preserve"> programs</w:t>
      </w:r>
      <w:r w:rsidR="00A736E0">
        <w:t xml:space="preserve">, and </w:t>
      </w:r>
      <w:r w:rsidR="00316F59">
        <w:t>safety and security programs</w:t>
      </w:r>
      <w:r w:rsidR="00DD6480">
        <w:t>.</w:t>
      </w:r>
    </w:p>
    <w:p w14:paraId="29B15131" w14:textId="77777777" w:rsidR="00F806FA" w:rsidRDefault="00F806FA" w:rsidP="00F806FA">
      <w:pPr>
        <w:pStyle w:val="NoSpacing"/>
      </w:pPr>
    </w:p>
    <w:p w14:paraId="128498F3" w14:textId="77777777" w:rsidR="00F806FA" w:rsidRDefault="00F806FA" w:rsidP="00F806FA">
      <w:pPr>
        <w:pStyle w:val="NoSpacing"/>
      </w:pPr>
      <w:r>
        <w:rPr>
          <w:b/>
          <w:bCs/>
        </w:rPr>
        <w:t>Data-Driven Impact</w:t>
      </w:r>
      <w:r>
        <w:t xml:space="preserve"> – Clearly understand the issue(s) and have designed programs and services that effectively address the needs of Hispanic women and girls, followed by data to support short-term and long-term improved social impact. </w:t>
      </w:r>
    </w:p>
    <w:p w14:paraId="03EC5515" w14:textId="77777777" w:rsidR="00F806FA" w:rsidRDefault="00F806FA" w:rsidP="00F806FA">
      <w:pPr>
        <w:pStyle w:val="NoSpacing"/>
        <w:rPr>
          <w:b/>
          <w:bCs/>
        </w:rPr>
      </w:pPr>
    </w:p>
    <w:p w14:paraId="1C88BFF4" w14:textId="77777777" w:rsidR="00F806FA" w:rsidRDefault="00F806FA" w:rsidP="00F806FA">
      <w:pPr>
        <w:pStyle w:val="NoSpacing"/>
      </w:pPr>
      <w:r>
        <w:rPr>
          <w:b/>
          <w:bCs/>
        </w:rPr>
        <w:t>Cultural Awareness and Inclusion</w:t>
      </w:r>
      <w:r>
        <w:t xml:space="preserve"> - Demonstrate cultural awareness and responsiveness; have both bi-lingual services, content, and other specific skills to address the needs of Hispanic women and girls. Demonstrated support for all women and girls, inclusive of sexual orientation, gender identity, and gender expression.</w:t>
      </w:r>
    </w:p>
    <w:p w14:paraId="4538A565" w14:textId="77777777" w:rsidR="00F806FA" w:rsidRDefault="00F806FA" w:rsidP="00F806FA">
      <w:pPr>
        <w:pStyle w:val="NoSpacing"/>
        <w:rPr>
          <w:b/>
          <w:bCs/>
        </w:rPr>
      </w:pPr>
    </w:p>
    <w:p w14:paraId="2B298DB7" w14:textId="32293719" w:rsidR="005F5985" w:rsidRDefault="00F806FA" w:rsidP="00845FB1">
      <w:pPr>
        <w:pStyle w:val="NoSpacing"/>
      </w:pPr>
      <w:r>
        <w:rPr>
          <w:b/>
          <w:bCs/>
        </w:rPr>
        <w:t>Community Commitment</w:t>
      </w:r>
      <w:r>
        <w:t xml:space="preserve"> - Organizations with a history of working with under-resourced or marginalized Hispanic women and girls have directed more resources/programs to serve the community over time.</w:t>
      </w:r>
    </w:p>
    <w:sectPr w:rsidR="005F5985" w:rsidSect="007C6CF3">
      <w:footerReference w:type="default" r:id="rId13"/>
      <w:pgSz w:w="12240" w:h="15840"/>
      <w:pgMar w:top="550" w:right="720" w:bottom="540" w:left="720" w:header="45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8398" w14:textId="77777777" w:rsidR="008D7041" w:rsidRDefault="008D7041" w:rsidP="007C6CF3">
      <w:pPr>
        <w:spacing w:after="0" w:line="240" w:lineRule="auto"/>
      </w:pPr>
      <w:r>
        <w:separator/>
      </w:r>
    </w:p>
  </w:endnote>
  <w:endnote w:type="continuationSeparator" w:id="0">
    <w:p w14:paraId="1ED8726F" w14:textId="77777777" w:rsidR="008D7041" w:rsidRDefault="008D7041" w:rsidP="007C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567410"/>
      <w:docPartObj>
        <w:docPartGallery w:val="Page Numbers (Bottom of Page)"/>
        <w:docPartUnique/>
      </w:docPartObj>
    </w:sdtPr>
    <w:sdtEndPr/>
    <w:sdtContent>
      <w:sdt>
        <w:sdtPr>
          <w:id w:val="-1705238520"/>
          <w:docPartObj>
            <w:docPartGallery w:val="Page Numbers (Top of Page)"/>
            <w:docPartUnique/>
          </w:docPartObj>
        </w:sdtPr>
        <w:sdtEndPr/>
        <w:sdtContent>
          <w:p w14:paraId="44EBF5F6" w14:textId="7942FC0A" w:rsidR="007C6CF3" w:rsidRDefault="007C6CF3" w:rsidP="007C6CF3">
            <w:pPr>
              <w:pStyle w:val="Footer"/>
              <w:jc w:val="right"/>
            </w:pPr>
            <w:r w:rsidRPr="007C6CF3">
              <w:rPr>
                <w:i/>
                <w:iCs/>
              </w:rPr>
              <w:t xml:space="preserve">Page </w:t>
            </w:r>
            <w:r w:rsidRPr="007C6CF3">
              <w:rPr>
                <w:i/>
                <w:iCs/>
                <w:sz w:val="24"/>
                <w:szCs w:val="24"/>
              </w:rPr>
              <w:fldChar w:fldCharType="begin"/>
            </w:r>
            <w:r w:rsidRPr="007C6CF3">
              <w:rPr>
                <w:i/>
                <w:iCs/>
              </w:rPr>
              <w:instrText xml:space="preserve"> PAGE </w:instrText>
            </w:r>
            <w:r w:rsidRPr="007C6CF3">
              <w:rPr>
                <w:i/>
                <w:iCs/>
                <w:sz w:val="24"/>
                <w:szCs w:val="24"/>
              </w:rPr>
              <w:fldChar w:fldCharType="separate"/>
            </w:r>
            <w:r w:rsidRPr="007C6CF3">
              <w:rPr>
                <w:i/>
                <w:iCs/>
                <w:noProof/>
              </w:rPr>
              <w:t>2</w:t>
            </w:r>
            <w:r w:rsidRPr="007C6CF3">
              <w:rPr>
                <w:i/>
                <w:iCs/>
                <w:sz w:val="24"/>
                <w:szCs w:val="24"/>
              </w:rPr>
              <w:fldChar w:fldCharType="end"/>
            </w:r>
            <w:r w:rsidRPr="007C6CF3">
              <w:rPr>
                <w:i/>
                <w:iCs/>
              </w:rPr>
              <w:t xml:space="preserve"> of </w:t>
            </w:r>
            <w:r w:rsidRPr="007C6CF3">
              <w:rPr>
                <w:i/>
                <w:iCs/>
                <w:sz w:val="24"/>
                <w:szCs w:val="24"/>
              </w:rPr>
              <w:fldChar w:fldCharType="begin"/>
            </w:r>
            <w:r w:rsidRPr="007C6CF3">
              <w:rPr>
                <w:i/>
                <w:iCs/>
              </w:rPr>
              <w:instrText xml:space="preserve"> NUMPAGES  </w:instrText>
            </w:r>
            <w:r w:rsidRPr="007C6CF3">
              <w:rPr>
                <w:i/>
                <w:iCs/>
                <w:sz w:val="24"/>
                <w:szCs w:val="24"/>
              </w:rPr>
              <w:fldChar w:fldCharType="separate"/>
            </w:r>
            <w:r w:rsidRPr="007C6CF3">
              <w:rPr>
                <w:i/>
                <w:iCs/>
                <w:noProof/>
              </w:rPr>
              <w:t>2</w:t>
            </w:r>
            <w:r w:rsidRPr="007C6CF3">
              <w:rPr>
                <w:i/>
                <w:iCs/>
                <w:sz w:val="24"/>
                <w:szCs w:val="24"/>
              </w:rPr>
              <w:fldChar w:fldCharType="end"/>
            </w:r>
          </w:p>
        </w:sdtContent>
      </w:sdt>
    </w:sdtContent>
  </w:sdt>
  <w:p w14:paraId="367BDC6C" w14:textId="77777777" w:rsidR="007C6CF3" w:rsidRDefault="007C6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D040" w14:textId="77777777" w:rsidR="008D7041" w:rsidRDefault="008D7041" w:rsidP="007C6CF3">
      <w:pPr>
        <w:spacing w:after="0" w:line="240" w:lineRule="auto"/>
      </w:pPr>
      <w:r>
        <w:separator/>
      </w:r>
    </w:p>
  </w:footnote>
  <w:footnote w:type="continuationSeparator" w:id="0">
    <w:p w14:paraId="67631A4D" w14:textId="77777777" w:rsidR="008D7041" w:rsidRDefault="008D7041" w:rsidP="007C6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8CF"/>
    <w:multiLevelType w:val="hybridMultilevel"/>
    <w:tmpl w:val="7D4C5AC4"/>
    <w:lvl w:ilvl="0" w:tplc="792866DC">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8C0BA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3ECC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7A2F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54BD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4237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AC2CB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E0EB0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6669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0271C3"/>
    <w:multiLevelType w:val="hybridMultilevel"/>
    <w:tmpl w:val="30DA931A"/>
    <w:lvl w:ilvl="0" w:tplc="BE9612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94FD2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40CAB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68AB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1EC8D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32B03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A2F8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D2DE5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06F46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354EA8"/>
    <w:multiLevelType w:val="hybridMultilevel"/>
    <w:tmpl w:val="9E90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D3344"/>
    <w:multiLevelType w:val="hybridMultilevel"/>
    <w:tmpl w:val="C7326A0A"/>
    <w:lvl w:ilvl="0" w:tplc="8BAA7F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989A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960A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5248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EAB17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F847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DE04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2EA8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8C3E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473FDD"/>
    <w:multiLevelType w:val="hybridMultilevel"/>
    <w:tmpl w:val="80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57BBE"/>
    <w:multiLevelType w:val="hybridMultilevel"/>
    <w:tmpl w:val="E72642E4"/>
    <w:lvl w:ilvl="0" w:tplc="788C2B28">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BE1F9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101F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484B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0AE11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F6D1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1E39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FE7F5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C65DB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9D4246"/>
    <w:multiLevelType w:val="hybridMultilevel"/>
    <w:tmpl w:val="84A2D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C7DFA"/>
    <w:multiLevelType w:val="hybridMultilevel"/>
    <w:tmpl w:val="4480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D055E"/>
    <w:multiLevelType w:val="hybridMultilevel"/>
    <w:tmpl w:val="3608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969573">
    <w:abstractNumId w:val="5"/>
  </w:num>
  <w:num w:numId="2" w16cid:durableId="64495023">
    <w:abstractNumId w:val="4"/>
  </w:num>
  <w:num w:numId="3" w16cid:durableId="560020170">
    <w:abstractNumId w:val="0"/>
  </w:num>
  <w:num w:numId="4" w16cid:durableId="149257011">
    <w:abstractNumId w:val="6"/>
  </w:num>
  <w:num w:numId="5" w16cid:durableId="715589813">
    <w:abstractNumId w:val="7"/>
  </w:num>
  <w:num w:numId="6" w16cid:durableId="78988530">
    <w:abstractNumId w:val="2"/>
  </w:num>
  <w:num w:numId="7" w16cid:durableId="1941716809">
    <w:abstractNumId w:val="3"/>
  </w:num>
  <w:num w:numId="8" w16cid:durableId="212425517">
    <w:abstractNumId w:val="1"/>
  </w:num>
  <w:num w:numId="9" w16cid:durableId="1157961465">
    <w:abstractNumId w:val="8"/>
  </w:num>
  <w:num w:numId="10" w16cid:durableId="870849474">
    <w:abstractNumId w:val="8"/>
  </w:num>
  <w:num w:numId="11" w16cid:durableId="319121214">
    <w:abstractNumId w:val="7"/>
  </w:num>
  <w:num w:numId="12" w16cid:durableId="1356006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I0NzcwMTO2NDMzNDdT0lEKTi0uzszPAykwrAUAFT61oSwAAAA="/>
  </w:docVars>
  <w:rsids>
    <w:rsidRoot w:val="005F5985"/>
    <w:rsid w:val="00013A1B"/>
    <w:rsid w:val="00016F45"/>
    <w:rsid w:val="00024F64"/>
    <w:rsid w:val="000A00A1"/>
    <w:rsid w:val="000A56A4"/>
    <w:rsid w:val="000A5E8A"/>
    <w:rsid w:val="000D1E65"/>
    <w:rsid w:val="000D732A"/>
    <w:rsid w:val="000D7890"/>
    <w:rsid w:val="000F54B9"/>
    <w:rsid w:val="00130920"/>
    <w:rsid w:val="00146729"/>
    <w:rsid w:val="001652CF"/>
    <w:rsid w:val="001D71D3"/>
    <w:rsid w:val="002123B8"/>
    <w:rsid w:val="00216300"/>
    <w:rsid w:val="002750AA"/>
    <w:rsid w:val="002A6066"/>
    <w:rsid w:val="002B63BA"/>
    <w:rsid w:val="002B657A"/>
    <w:rsid w:val="002C681F"/>
    <w:rsid w:val="002E2273"/>
    <w:rsid w:val="002F2B46"/>
    <w:rsid w:val="00312438"/>
    <w:rsid w:val="00315DA6"/>
    <w:rsid w:val="00316F59"/>
    <w:rsid w:val="00333E56"/>
    <w:rsid w:val="00334F93"/>
    <w:rsid w:val="00341233"/>
    <w:rsid w:val="003643C2"/>
    <w:rsid w:val="00385615"/>
    <w:rsid w:val="003B6634"/>
    <w:rsid w:val="003C391F"/>
    <w:rsid w:val="003E3AF1"/>
    <w:rsid w:val="003F06B2"/>
    <w:rsid w:val="003F2FDE"/>
    <w:rsid w:val="00441C63"/>
    <w:rsid w:val="00465374"/>
    <w:rsid w:val="00474A75"/>
    <w:rsid w:val="004A26A9"/>
    <w:rsid w:val="004A5BDE"/>
    <w:rsid w:val="004B4C12"/>
    <w:rsid w:val="004B6421"/>
    <w:rsid w:val="004C3B2F"/>
    <w:rsid w:val="004E3F26"/>
    <w:rsid w:val="0052086D"/>
    <w:rsid w:val="00536E3B"/>
    <w:rsid w:val="00537DE8"/>
    <w:rsid w:val="00580433"/>
    <w:rsid w:val="005935F0"/>
    <w:rsid w:val="005B20E7"/>
    <w:rsid w:val="005C6F11"/>
    <w:rsid w:val="005D2EA0"/>
    <w:rsid w:val="005D6F52"/>
    <w:rsid w:val="005F5985"/>
    <w:rsid w:val="00604793"/>
    <w:rsid w:val="00604C1A"/>
    <w:rsid w:val="00634415"/>
    <w:rsid w:val="00662F3C"/>
    <w:rsid w:val="006D796D"/>
    <w:rsid w:val="006E602B"/>
    <w:rsid w:val="00706287"/>
    <w:rsid w:val="007723C4"/>
    <w:rsid w:val="007942B0"/>
    <w:rsid w:val="007977FB"/>
    <w:rsid w:val="00797B9A"/>
    <w:rsid w:val="007B5A09"/>
    <w:rsid w:val="007C2209"/>
    <w:rsid w:val="007C6CF3"/>
    <w:rsid w:val="007D21B0"/>
    <w:rsid w:val="007E4420"/>
    <w:rsid w:val="00815AA2"/>
    <w:rsid w:val="00835C50"/>
    <w:rsid w:val="008456B0"/>
    <w:rsid w:val="00845FB1"/>
    <w:rsid w:val="00870C4A"/>
    <w:rsid w:val="008841E9"/>
    <w:rsid w:val="00895B01"/>
    <w:rsid w:val="008D7041"/>
    <w:rsid w:val="008E47AB"/>
    <w:rsid w:val="00911590"/>
    <w:rsid w:val="00934696"/>
    <w:rsid w:val="009705B1"/>
    <w:rsid w:val="0099321D"/>
    <w:rsid w:val="009947FF"/>
    <w:rsid w:val="009B1552"/>
    <w:rsid w:val="009D6BE5"/>
    <w:rsid w:val="009F375C"/>
    <w:rsid w:val="009F6DAC"/>
    <w:rsid w:val="00A03BBA"/>
    <w:rsid w:val="00A44F7C"/>
    <w:rsid w:val="00A736E0"/>
    <w:rsid w:val="00A843FE"/>
    <w:rsid w:val="00A865CE"/>
    <w:rsid w:val="00AC5FD3"/>
    <w:rsid w:val="00AF4966"/>
    <w:rsid w:val="00AF6235"/>
    <w:rsid w:val="00B1306C"/>
    <w:rsid w:val="00B22AE4"/>
    <w:rsid w:val="00B40CF9"/>
    <w:rsid w:val="00B45E75"/>
    <w:rsid w:val="00B64B68"/>
    <w:rsid w:val="00B842AA"/>
    <w:rsid w:val="00BC58AC"/>
    <w:rsid w:val="00BC597D"/>
    <w:rsid w:val="00BF2048"/>
    <w:rsid w:val="00C10A35"/>
    <w:rsid w:val="00C22DCC"/>
    <w:rsid w:val="00C55AE1"/>
    <w:rsid w:val="00C60663"/>
    <w:rsid w:val="00C70024"/>
    <w:rsid w:val="00CC7E8C"/>
    <w:rsid w:val="00CD1F60"/>
    <w:rsid w:val="00CE105E"/>
    <w:rsid w:val="00CE33DA"/>
    <w:rsid w:val="00D06443"/>
    <w:rsid w:val="00D46960"/>
    <w:rsid w:val="00D667E8"/>
    <w:rsid w:val="00D94EA8"/>
    <w:rsid w:val="00D97DDB"/>
    <w:rsid w:val="00DA0A97"/>
    <w:rsid w:val="00DA4156"/>
    <w:rsid w:val="00DA5C19"/>
    <w:rsid w:val="00DB0FC9"/>
    <w:rsid w:val="00DB2076"/>
    <w:rsid w:val="00DC4C22"/>
    <w:rsid w:val="00DD6480"/>
    <w:rsid w:val="00DE240D"/>
    <w:rsid w:val="00E03A6F"/>
    <w:rsid w:val="00E263E1"/>
    <w:rsid w:val="00E41954"/>
    <w:rsid w:val="00E5378C"/>
    <w:rsid w:val="00E620B1"/>
    <w:rsid w:val="00E97DF5"/>
    <w:rsid w:val="00EB1E6A"/>
    <w:rsid w:val="00F117F2"/>
    <w:rsid w:val="00F150EE"/>
    <w:rsid w:val="00F41DAA"/>
    <w:rsid w:val="00F806FA"/>
    <w:rsid w:val="00F815C4"/>
    <w:rsid w:val="00FB386D"/>
    <w:rsid w:val="00FC4245"/>
    <w:rsid w:val="00FF3EE0"/>
    <w:rsid w:val="00FF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214DF"/>
  <w15:chartTrackingRefBased/>
  <w15:docId w15:val="{E3A0F1C7-D3F4-47CE-8311-539F697B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4C3B2F"/>
    <w:pPr>
      <w:keepNext/>
      <w:keepLines/>
      <w:spacing w:after="16"/>
      <w:ind w:left="195" w:hanging="10"/>
      <w:outlineLvl w:val="1"/>
    </w:pPr>
    <w:rPr>
      <w:rFonts w:ascii="Verdana" w:eastAsia="Verdana" w:hAnsi="Verdana" w:cs="Verdana"/>
      <w:b/>
      <w:color w:val="6A6968"/>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985"/>
    <w:rPr>
      <w:color w:val="0563C1" w:themeColor="hyperlink"/>
      <w:u w:val="single"/>
    </w:rPr>
  </w:style>
  <w:style w:type="character" w:customStyle="1" w:styleId="normaltextrun">
    <w:name w:val="normaltextrun"/>
    <w:basedOn w:val="DefaultParagraphFont"/>
    <w:rsid w:val="00CE33DA"/>
  </w:style>
  <w:style w:type="character" w:customStyle="1" w:styleId="eop">
    <w:name w:val="eop"/>
    <w:basedOn w:val="DefaultParagraphFont"/>
    <w:rsid w:val="00CE33DA"/>
  </w:style>
  <w:style w:type="character" w:customStyle="1" w:styleId="Heading2Char">
    <w:name w:val="Heading 2 Char"/>
    <w:basedOn w:val="DefaultParagraphFont"/>
    <w:link w:val="Heading2"/>
    <w:uiPriority w:val="9"/>
    <w:rsid w:val="004C3B2F"/>
    <w:rPr>
      <w:rFonts w:ascii="Verdana" w:eastAsia="Verdana" w:hAnsi="Verdana" w:cs="Verdana"/>
      <w:b/>
      <w:color w:val="6A6968"/>
      <w:sz w:val="30"/>
    </w:rPr>
  </w:style>
  <w:style w:type="paragraph" w:styleId="NoSpacing">
    <w:name w:val="No Spacing"/>
    <w:uiPriority w:val="1"/>
    <w:qFormat/>
    <w:rsid w:val="001652CF"/>
    <w:pPr>
      <w:spacing w:after="0" w:line="240" w:lineRule="auto"/>
    </w:pPr>
  </w:style>
  <w:style w:type="table" w:customStyle="1" w:styleId="TableGrid">
    <w:name w:val="TableGrid"/>
    <w:rsid w:val="008841E9"/>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024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2FDE"/>
    <w:rPr>
      <w:color w:val="605E5C"/>
      <w:shd w:val="clear" w:color="auto" w:fill="E1DFDD"/>
    </w:rPr>
  </w:style>
  <w:style w:type="paragraph" w:styleId="ListParagraph">
    <w:name w:val="List Paragraph"/>
    <w:basedOn w:val="Normal"/>
    <w:uiPriority w:val="34"/>
    <w:qFormat/>
    <w:rsid w:val="007C6CF3"/>
    <w:pPr>
      <w:ind w:left="720"/>
      <w:contextualSpacing/>
    </w:pPr>
  </w:style>
  <w:style w:type="paragraph" w:styleId="Header">
    <w:name w:val="header"/>
    <w:basedOn w:val="Normal"/>
    <w:link w:val="HeaderChar"/>
    <w:uiPriority w:val="99"/>
    <w:unhideWhenUsed/>
    <w:rsid w:val="007C6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CF3"/>
  </w:style>
  <w:style w:type="paragraph" w:styleId="Footer">
    <w:name w:val="footer"/>
    <w:basedOn w:val="Normal"/>
    <w:link w:val="FooterChar"/>
    <w:uiPriority w:val="99"/>
    <w:unhideWhenUsed/>
    <w:rsid w:val="007C6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9637">
      <w:bodyDiv w:val="1"/>
      <w:marLeft w:val="0"/>
      <w:marRight w:val="0"/>
      <w:marTop w:val="0"/>
      <w:marBottom w:val="0"/>
      <w:divBdr>
        <w:top w:val="none" w:sz="0" w:space="0" w:color="auto"/>
        <w:left w:val="none" w:sz="0" w:space="0" w:color="auto"/>
        <w:bottom w:val="none" w:sz="0" w:space="0" w:color="auto"/>
        <w:right w:val="none" w:sz="0" w:space="0" w:color="auto"/>
      </w:divBdr>
    </w:div>
    <w:div w:id="709647223">
      <w:bodyDiv w:val="1"/>
      <w:marLeft w:val="0"/>
      <w:marRight w:val="0"/>
      <w:marTop w:val="0"/>
      <w:marBottom w:val="0"/>
      <w:divBdr>
        <w:top w:val="none" w:sz="0" w:space="0" w:color="auto"/>
        <w:left w:val="none" w:sz="0" w:space="0" w:color="auto"/>
        <w:bottom w:val="none" w:sz="0" w:space="0" w:color="auto"/>
        <w:right w:val="none" w:sz="0" w:space="0" w:color="auto"/>
      </w:divBdr>
    </w:div>
    <w:div w:id="204003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txw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065860E93641478462D9793E574B81" ma:contentTypeVersion="16" ma:contentTypeDescription="Create a new document." ma:contentTypeScope="" ma:versionID="1bcf79e3afff2f6096e00ca40815d93c">
  <xsd:schema xmlns:xsd="http://www.w3.org/2001/XMLSchema" xmlns:xs="http://www.w3.org/2001/XMLSchema" xmlns:p="http://schemas.microsoft.com/office/2006/metadata/properties" xmlns:ns2="3f9cdb93-aeb5-41d4-90e7-d315bc7e1d2e" xmlns:ns3="48bfe1a9-81bd-4f80-8ab0-c15daf49b15d" targetNamespace="http://schemas.microsoft.com/office/2006/metadata/properties" ma:root="true" ma:fieldsID="1fa5f6f80ab8dde711a9627e5a8628f0" ns2:_="" ns3:_="">
    <xsd:import namespace="3f9cdb93-aeb5-41d4-90e7-d315bc7e1d2e"/>
    <xsd:import namespace="48bfe1a9-81bd-4f80-8ab0-c15daf49b15d"/>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cdb93-aeb5-41d4-90e7-d315bc7e1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2e8308-ff5c-420b-be2b-720a917c7a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bfe1a9-81bd-4f80-8ab0-c15daf49b1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b1bbb9-e87a-4b26-8cca-6e5b4ea3a06f}" ma:internalName="TaxCatchAll" ma:showField="CatchAllData" ma:web="48bfe1a9-81bd-4f80-8ab0-c15daf49b1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9cdb93-aeb5-41d4-90e7-d315bc7e1d2e">
      <Terms xmlns="http://schemas.microsoft.com/office/infopath/2007/PartnerControls"/>
    </lcf76f155ced4ddcb4097134ff3c332f>
    <TaxCatchAll xmlns="48bfe1a9-81bd-4f80-8ab0-c15daf49b1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FF7FD-0F8A-4621-B7FC-209E22D8C6E9}">
  <ds:schemaRefs>
    <ds:schemaRef ds:uri="http://schemas.openxmlformats.org/officeDocument/2006/bibliography"/>
  </ds:schemaRefs>
</ds:datastoreItem>
</file>

<file path=customXml/itemProps2.xml><?xml version="1.0" encoding="utf-8"?>
<ds:datastoreItem xmlns:ds="http://schemas.openxmlformats.org/officeDocument/2006/customXml" ds:itemID="{20A142B9-8A0B-4FD9-8A1A-BE73C60A6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cdb93-aeb5-41d4-90e7-d315bc7e1d2e"/>
    <ds:schemaRef ds:uri="48bfe1a9-81bd-4f80-8ab0-c15daf49b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29A83-6976-498E-85C4-A926FF03D785}">
  <ds:schemaRefs>
    <ds:schemaRef ds:uri="http://schemas.microsoft.com/office/2006/metadata/properties"/>
    <ds:schemaRef ds:uri="http://schemas.microsoft.com/office/infopath/2007/PartnerControls"/>
    <ds:schemaRef ds:uri="3f9cdb93-aeb5-41d4-90e7-d315bc7e1d2e"/>
    <ds:schemaRef ds:uri="48bfe1a9-81bd-4f80-8ab0-c15daf49b15d"/>
  </ds:schemaRefs>
</ds:datastoreItem>
</file>

<file path=customXml/itemProps4.xml><?xml version="1.0" encoding="utf-8"?>
<ds:datastoreItem xmlns:ds="http://schemas.openxmlformats.org/officeDocument/2006/customXml" ds:itemID="{8C51EEEB-9933-4CE5-83D0-28F3DB0DA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828</Words>
  <Characters>4306</Characters>
  <Application>Microsoft Office Word</Application>
  <DocSecurity>0</DocSecurity>
  <Lines>119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 Ybarra, CPA</dc:creator>
  <cp:keywords/>
  <dc:description/>
  <cp:lastModifiedBy>Kim Hoàng</cp:lastModifiedBy>
  <cp:revision>2</cp:revision>
  <cp:lastPrinted>2025-04-10T22:06:00Z</cp:lastPrinted>
  <dcterms:created xsi:type="dcterms:W3CDTF">2026-04-20T16:18:00Z</dcterms:created>
  <dcterms:modified xsi:type="dcterms:W3CDTF">2026-04-20T16:18:00Z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0x01010065065860E93641478462D9793E574B81</vt:lpwstr>
  </property>
  <property fmtid="{D5CDD505-2E9C-101B-9397-08002B2CF9AE}" pid="3" name="MediaServiceImageTags">
    <vt:lpwstr/>
  </property>
</Properties>
</file>